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5209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 w:rsidRPr="003877CD">
        <w:rPr>
          <w:rFonts w:eastAsia="Times New Roman" w:cs="Calibri"/>
          <w:b/>
          <w:bCs/>
          <w:sz w:val="20"/>
          <w:szCs w:val="20"/>
          <w:lang w:eastAsia="it-IT"/>
        </w:rPr>
        <w:t>Allegato A3</w:t>
      </w:r>
    </w:p>
    <w:p w14:paraId="6C520A34" w14:textId="77777777" w:rsidR="00145802" w:rsidRDefault="00145802" w:rsidP="00ED507E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790BDF7C" w14:textId="6111DC87" w:rsidR="0037529A" w:rsidRPr="0037529A" w:rsidRDefault="003877CD" w:rsidP="008D729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lang w:eastAsia="it-IT"/>
        </w:rPr>
      </w:pPr>
      <w:r w:rsidRPr="00774E7C">
        <w:rPr>
          <w:rFonts w:eastAsia="Times New Roman" w:cs="Calibri"/>
          <w:b/>
          <w:bCs/>
          <w:sz w:val="20"/>
          <w:szCs w:val="20"/>
          <w:lang w:eastAsia="it-IT"/>
        </w:rPr>
        <w:t>G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ara </w:t>
      </w:r>
      <w:r w:rsidR="009834C7"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>“</w:t>
      </w:r>
      <w:r w:rsidR="0037529A" w:rsidRPr="0037529A">
        <w:rPr>
          <w:rFonts w:eastAsia="Times New Roman" w:cs="Calibri"/>
          <w:b/>
          <w:bCs/>
          <w:iCs/>
          <w:sz w:val="20"/>
          <w:szCs w:val="20"/>
          <w:lang w:eastAsia="it-IT"/>
        </w:rPr>
        <w:t>FORNITURA DI N. 2 ATTREZZATURE SCIENTIFICHE AD ELEVATO CONTENUTO TECNOLOGICO PER</w:t>
      </w:r>
      <w:r w:rsidR="008D7297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L</w:t>
      </w:r>
      <w:r w:rsidR="0037529A" w:rsidRPr="0037529A">
        <w:rPr>
          <w:rFonts w:eastAsia="Times New Roman" w:cs="Calibri"/>
          <w:b/>
          <w:bCs/>
          <w:iCs/>
          <w:sz w:val="20"/>
          <w:szCs w:val="20"/>
          <w:lang w:eastAsia="it-IT"/>
        </w:rPr>
        <w:t>’ALLESTIMENTO DEL LABORATORI</w:t>
      </w:r>
      <w:r w:rsidR="00210726">
        <w:rPr>
          <w:rFonts w:eastAsia="Times New Roman" w:cs="Calibri"/>
          <w:b/>
          <w:bCs/>
          <w:iCs/>
          <w:sz w:val="20"/>
          <w:szCs w:val="20"/>
          <w:lang w:eastAsia="it-IT"/>
        </w:rPr>
        <w:t>O</w:t>
      </w:r>
      <w:r w:rsidR="0037529A" w:rsidRPr="0037529A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L1 DEL PROGETTO DIPARTIMENTI DI ECCELLENZA 2023-2027” PER LE ESIGENZE DEL DIPARTIMENTO DI INGEGNERIA CHIMICA, DEI MATERIALI E DELLA PRODUZIONE INDUSTRIALE DELL’UNIVERSITÀ DEGLI STUDI DI NAPOLI FEDERICO II</w:t>
      </w:r>
    </w:p>
    <w:p w14:paraId="2A020833" w14:textId="5789855E" w:rsidR="003877CD" w:rsidRPr="00774E7C" w:rsidRDefault="003877CD" w:rsidP="00ED507E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</w:p>
    <w:p w14:paraId="16BADB06" w14:textId="77777777" w:rsidR="00145802" w:rsidRDefault="00145802" w:rsidP="003877CD">
      <w:pPr>
        <w:spacing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lang w:eastAsia="it-IT"/>
        </w:rPr>
      </w:pPr>
    </w:p>
    <w:p w14:paraId="6DDB2BAD" w14:textId="225E4CF3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774E7C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DICHIARAZIONI INTEGRATIVE: 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 xml:space="preserve">Dichiarazioni sostitutive ai sensi degli articoli 46 e 47 del D.P.R. </w:t>
      </w:r>
      <w:r w:rsidR="00145802">
        <w:rPr>
          <w:rFonts w:eastAsia="Times New Roman" w:cs="Calibri"/>
          <w:b/>
          <w:sz w:val="20"/>
          <w:szCs w:val="20"/>
          <w:lang w:eastAsia="it-IT"/>
        </w:rPr>
        <w:t xml:space="preserve">n. </w:t>
      </w:r>
      <w:r w:rsidRPr="00774E7C">
        <w:rPr>
          <w:rFonts w:eastAsia="Times New Roman" w:cs="Calibri"/>
          <w:b/>
          <w:sz w:val="20"/>
          <w:szCs w:val="20"/>
          <w:lang w:eastAsia="it-IT"/>
        </w:rPr>
        <w:t>445/2000 e s.m.i. (da sottoscrivere dai soggetti indicati nella nota 1 del presente modello).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</w:t>
      </w:r>
    </w:p>
    <w:p w14:paraId="0C276B29" w14:textId="77777777" w:rsidR="003877CD" w:rsidRPr="003877CD" w:rsidRDefault="003877CD" w:rsidP="003877CD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5F46B92B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73A8615" w14:textId="77777777" w:rsidR="003877CD" w:rsidRPr="003877CD" w:rsidRDefault="003877CD" w:rsidP="003877C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7B289DD" w14:textId="77777777" w:rsidR="00145802" w:rsidRDefault="00145802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5B3696D7" w14:textId="1971395E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DICHIARA (vedi nota 2):</w:t>
      </w:r>
    </w:p>
    <w:p w14:paraId="58458D52" w14:textId="77777777" w:rsidR="003877CD" w:rsidRPr="003877CD" w:rsidRDefault="003877CD" w:rsidP="003877CD">
      <w:pPr>
        <w:tabs>
          <w:tab w:val="left" w:pos="29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  <w:t>a)</w:t>
      </w:r>
    </w:p>
    <w:p w14:paraId="7F4B6D1C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0BA5C1B6" w14:textId="444253D6" w:rsidR="003877CD" w:rsidRPr="003877CD" w:rsidRDefault="003877CD" w:rsidP="003877C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  <w:r w:rsidRPr="003877CD">
        <w:rPr>
          <w:rFonts w:eastAsia="Times New Roman" w:cs="Calibri"/>
          <w:b/>
          <w:bCs/>
          <w:sz w:val="20"/>
          <w:szCs w:val="20"/>
          <w:lang w:eastAsia="it-IT"/>
        </w:rPr>
        <w:t xml:space="preserve">a.1)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all’94, co. 1, del </w:t>
      </w:r>
      <w:r w:rsidR="00145802">
        <w:rPr>
          <w:rFonts w:eastAsia="Times New Roman" w:cs="Calibri"/>
          <w:sz w:val="20"/>
          <w:szCs w:val="20"/>
          <w:lang w:eastAsia="it-IT"/>
        </w:rPr>
        <w:t>D</w:t>
      </w:r>
      <w:r w:rsidRPr="003877CD">
        <w:rPr>
          <w:rFonts w:eastAsia="Times New Roman" w:cs="Calibri"/>
          <w:sz w:val="20"/>
          <w:szCs w:val="20"/>
          <w:lang w:eastAsia="it-IT"/>
        </w:rPr>
        <w:t>.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 L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gs. n. 36/2023 art. 53, co. 16 ter,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165/2001 smi; </w:t>
      </w:r>
    </w:p>
    <w:p w14:paraId="7105246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6D517F18" w14:textId="77777777" w:rsidR="003877CD" w:rsidRPr="003877CD" w:rsidRDefault="003877CD" w:rsidP="003877CD">
      <w:pPr>
        <w:tabs>
          <w:tab w:val="num" w:pos="720"/>
        </w:tabs>
        <w:spacing w:after="0" w:line="240" w:lineRule="atLeast"/>
        <w:ind w:left="720" w:hanging="360"/>
        <w:jc w:val="center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6A859E3F" w14:textId="77777777" w:rsidR="003877CD" w:rsidRPr="003877CD" w:rsidRDefault="003877CD" w:rsidP="003877CD">
      <w:pPr>
        <w:tabs>
          <w:tab w:val="num" w:pos="0"/>
          <w:tab w:val="num" w:pos="360"/>
        </w:tabs>
        <w:spacing w:after="0" w:line="240" w:lineRule="atLeast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2314D1B2" w14:textId="77777777" w:rsidR="003877CD" w:rsidRPr="003877CD" w:rsidRDefault="003877CD" w:rsidP="003877CD">
      <w:pPr>
        <w:numPr>
          <w:ilvl w:val="0"/>
          <w:numId w:val="13"/>
        </w:numPr>
        <w:spacing w:after="0" w:line="240" w:lineRule="atLeast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a.2)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 di aver subito le seguenti condanne penali (ivi comprese quelle per le quali abbia beneficiato della non menzione):</w:t>
      </w:r>
    </w:p>
    <w:p w14:paraId="70BD685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2D58A0C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C1DD887" w14:textId="2D5A7CCF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b) in ordine all’art. 94, co. 2 del </w:t>
      </w:r>
      <w:r w:rsidR="00145802">
        <w:rPr>
          <w:rFonts w:eastAsia="Times New Roman" w:cs="Calibri"/>
          <w:b/>
          <w:sz w:val="20"/>
          <w:szCs w:val="20"/>
          <w:lang w:eastAsia="it-IT"/>
        </w:rPr>
        <w:t>D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>.</w:t>
      </w:r>
      <w:r w:rsidR="00145802">
        <w:rPr>
          <w:rFonts w:eastAsia="Times New Roman" w:cs="Calibri"/>
          <w:b/>
          <w:sz w:val="20"/>
          <w:szCs w:val="20"/>
          <w:lang w:eastAsia="it-IT"/>
        </w:rPr>
        <w:t xml:space="preserve"> L</w:t>
      </w:r>
      <w:r w:rsidRPr="003877CD">
        <w:rPr>
          <w:rFonts w:eastAsia="Times New Roman" w:cs="Calibri"/>
          <w:b/>
          <w:sz w:val="20"/>
          <w:szCs w:val="20"/>
          <w:lang w:eastAsia="it-IT"/>
        </w:rPr>
        <w:t>gs. n. 36/2023 e s.m.i.:</w:t>
      </w:r>
    </w:p>
    <w:p w14:paraId="600876C7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3FC191ED" w14:textId="75311DB5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b.1)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che, nei propri confronti non sussiste alcuna causa di decadenza o sospensione o divieto di cui all’art. 67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159/2011 e s.m.i. o di un tentativo di infiltrazione mafiosa di cui all’art. 84, co. 4, del medesimo decreto (fermo restando quanto previsto dagli </w:t>
      </w:r>
      <w:hyperlink r:id="rId10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1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 xml:space="preserve">92, commi 2 e 3, del D. Lgs. </w:t>
        </w:r>
        <w:r w:rsidR="00145802">
          <w:rPr>
            <w:rFonts w:eastAsia="Times New Roman" w:cs="Calibri"/>
            <w:sz w:val="20"/>
            <w:szCs w:val="20"/>
            <w:lang w:eastAsia="it-IT"/>
          </w:rPr>
          <w:t xml:space="preserve">n. </w:t>
        </w:r>
        <w:r w:rsidRPr="003877CD">
          <w:rPr>
            <w:rFonts w:eastAsia="Times New Roman" w:cs="Calibri"/>
            <w:sz w:val="20"/>
            <w:szCs w:val="20"/>
            <w:lang w:eastAsia="it-IT"/>
          </w:rPr>
          <w:t>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antimafia);</w:t>
      </w:r>
    </w:p>
    <w:p w14:paraId="0007FE94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  <w:r w:rsidRPr="003877CD">
        <w:rPr>
          <w:rFonts w:eastAsia="Times New Roman" w:cs="Calibri"/>
          <w:b/>
          <w:sz w:val="20"/>
          <w:szCs w:val="20"/>
          <w:lang w:eastAsia="it-IT"/>
        </w:rPr>
        <w:tab/>
      </w:r>
    </w:p>
    <w:p w14:paraId="4DBE2033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t>ovvero (cfr. nota A)</w:t>
      </w:r>
    </w:p>
    <w:p w14:paraId="11E6135B" w14:textId="77777777" w:rsidR="003877CD" w:rsidRPr="003877CD" w:rsidRDefault="003877CD" w:rsidP="003877CD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42814E78" w14:textId="1DEF7131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b/>
          <w:sz w:val="20"/>
          <w:szCs w:val="20"/>
          <w:lang w:eastAsia="it-IT"/>
        </w:rPr>
        <w:sym w:font="Wingdings" w:char="F0A8"/>
      </w:r>
      <w:r w:rsidRPr="003877CD">
        <w:rPr>
          <w:rFonts w:eastAsia="Times New Roman" w:cs="Calibri"/>
          <w:b/>
          <w:sz w:val="20"/>
          <w:szCs w:val="20"/>
          <w:lang w:eastAsia="it-IT"/>
        </w:rPr>
        <w:t xml:space="preserve"> b.2)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che nei propri confronti sussistono le seguenti cause di decadenza o sospensione o divieto di cui all’art. 67 del D. Lgs. </w:t>
      </w:r>
      <w:r w:rsidR="00145802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3877CD">
        <w:rPr>
          <w:rFonts w:eastAsia="Times New Roman" w:cs="Calibri"/>
          <w:sz w:val="20"/>
          <w:szCs w:val="20"/>
          <w:lang w:eastAsia="it-IT"/>
        </w:rPr>
        <w:t xml:space="preserve">159/2011 e s.m.i. o di un tentativo di infiltrazione mafiosa di cui all’art. 84, co. 4, del medesimo decreto (fermo restando quanto previsto dagli </w:t>
      </w:r>
      <w:hyperlink r:id="rId12" w:anchor="088" w:history="1">
        <w:r w:rsidRPr="003877CD">
          <w:rPr>
            <w:rFonts w:eastAsia="Times New Roman" w:cs="Calibri"/>
            <w:sz w:val="20"/>
            <w:szCs w:val="20"/>
            <w:lang w:eastAsia="it-IT"/>
          </w:rPr>
          <w:t>articoli 88, comma 4-bis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, e </w:t>
      </w:r>
      <w:hyperlink r:id="rId13" w:anchor="092" w:history="1">
        <w:r w:rsidRPr="003877CD">
          <w:rPr>
            <w:rFonts w:eastAsia="Times New Roman" w:cs="Calibri"/>
            <w:sz w:val="20"/>
            <w:szCs w:val="20"/>
            <w:lang w:eastAsia="it-IT"/>
          </w:rPr>
          <w:t>92, commi 2 e 3, del D. Lgs.</w:t>
        </w:r>
        <w:r w:rsidR="00145802">
          <w:rPr>
            <w:rFonts w:eastAsia="Times New Roman" w:cs="Calibri"/>
            <w:sz w:val="20"/>
            <w:szCs w:val="20"/>
            <w:lang w:eastAsia="it-IT"/>
          </w:rPr>
          <w:t xml:space="preserve"> n.</w:t>
        </w:r>
        <w:r w:rsidRPr="003877CD">
          <w:rPr>
            <w:rFonts w:eastAsia="Times New Roman" w:cs="Calibri"/>
            <w:sz w:val="20"/>
            <w:szCs w:val="20"/>
            <w:lang w:eastAsia="it-IT"/>
          </w:rPr>
          <w:t xml:space="preserve"> 159/2011,</w:t>
        </w:r>
      </w:hyperlink>
      <w:r w:rsidRPr="003877CD">
        <w:rPr>
          <w:rFonts w:eastAsia="Times New Roman" w:cs="Calibri"/>
          <w:sz w:val="20"/>
          <w:szCs w:val="20"/>
          <w:lang w:eastAsia="it-IT"/>
        </w:rPr>
        <w:t xml:space="preserve"> con riferimento rispettivamente alle comunicazioni antimafia e alle informazioni antimafia):</w:t>
      </w:r>
    </w:p>
    <w:p w14:paraId="75AC2536" w14:textId="77777777" w:rsidR="003877CD" w:rsidRPr="003877CD" w:rsidRDefault="003877CD" w:rsidP="003877CD">
      <w:pPr>
        <w:tabs>
          <w:tab w:val="right" w:leader="underscore" w:pos="9638"/>
        </w:tabs>
        <w:spacing w:after="0" w:line="300" w:lineRule="atLeast"/>
        <w:ind w:left="709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br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</w:p>
    <w:p w14:paraId="681C7DB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2810452E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133AABD0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>Data____________</w:t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</w:p>
    <w:p w14:paraId="4CDE0395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</w:r>
      <w:r w:rsidRPr="003877CD">
        <w:rPr>
          <w:rFonts w:eastAsia="Times New Roman" w:cs="Calibri"/>
          <w:sz w:val="20"/>
          <w:szCs w:val="20"/>
          <w:lang w:eastAsia="it-IT"/>
        </w:rPr>
        <w:tab/>
        <w:t>___________________________</w:t>
      </w:r>
    </w:p>
    <w:p w14:paraId="7C3C4DBB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07F00A3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134830E1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>Dichiarano di essere in formati di quanto segue:</w:t>
      </w:r>
    </w:p>
    <w:p w14:paraId="5387DC0A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Informativa ai sensi dell’art. 13 del Regolamento (UE) 679/2016 recante norme sul trattamento dei dati personali. </w:t>
      </w:r>
    </w:p>
    <w:p w14:paraId="1E113D3B" w14:textId="61AD6B4B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6"/>
          <w:szCs w:val="16"/>
          <w:lang w:eastAsia="it-IT"/>
        </w:rPr>
      </w:pP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14" w:history="1"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774E7C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774E7C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774E7C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3877CD">
          <w:rPr>
            <w:rFonts w:eastAsia="Times New Roman" w:cs="Calibri"/>
            <w:color w:val="0000FF"/>
            <w:sz w:val="16"/>
            <w:szCs w:val="16"/>
            <w:u w:val="single"/>
            <w:lang w:eastAsia="it-IT"/>
          </w:rPr>
          <w:t>http://www.unina.it/ateneo/statuto-e-normativa/privacy</w:t>
        </w:r>
      </w:hyperlink>
      <w:r w:rsidRPr="003877CD">
        <w:rPr>
          <w:rFonts w:eastAsia="Times New Roman" w:cs="Calibri"/>
          <w:i/>
          <w:sz w:val="16"/>
          <w:szCs w:val="16"/>
          <w:lang w:eastAsia="it-IT"/>
        </w:rPr>
        <w:t xml:space="preserve">. </w:t>
      </w:r>
    </w:p>
    <w:p w14:paraId="1666D2DC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________________________________________________________________________________</w:t>
      </w:r>
    </w:p>
    <w:p w14:paraId="01B3EDE9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>Legenda:</w:t>
      </w:r>
    </w:p>
    <w:p w14:paraId="6EBAA8A8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6"/>
          <w:szCs w:val="16"/>
          <w:lang w:eastAsia="it-IT"/>
        </w:rPr>
      </w:pPr>
      <w:r w:rsidRPr="003877CD">
        <w:rPr>
          <w:rFonts w:eastAsia="Times New Roman" w:cs="Calibri"/>
          <w:b/>
          <w:position w:val="6"/>
          <w:sz w:val="16"/>
          <w:szCs w:val="16"/>
          <w:lang w:eastAsia="it-IT"/>
        </w:rPr>
        <w:t xml:space="preserve">Nota A) </w:t>
      </w:r>
      <w:r w:rsidRPr="003877CD">
        <w:rPr>
          <w:rFonts w:eastAsia="Times New Roman" w:cs="Calibri"/>
          <w:position w:val="6"/>
          <w:sz w:val="16"/>
          <w:szCs w:val="16"/>
          <w:lang w:eastAsia="it-IT"/>
        </w:rPr>
        <w:t>Barrare una delle ipotesi considerate.</w:t>
      </w:r>
    </w:p>
    <w:p w14:paraId="09E52AE6" w14:textId="77777777" w:rsidR="003877CD" w:rsidRPr="003877CD" w:rsidRDefault="003877CD" w:rsidP="003877CD">
      <w:pPr>
        <w:spacing w:after="0" w:line="240" w:lineRule="atLeast"/>
        <w:ind w:left="-48" w:right="24"/>
        <w:jc w:val="both"/>
        <w:rPr>
          <w:rFonts w:eastAsia="Times New Roman" w:cs="Calibri"/>
          <w:bCs/>
          <w:sz w:val="16"/>
          <w:szCs w:val="16"/>
          <w:lang w:eastAsia="it-IT"/>
        </w:rPr>
      </w:pPr>
      <w:r w:rsidRPr="003877CD">
        <w:rPr>
          <w:rFonts w:eastAsia="Times New Roman" w:cs="Calibri"/>
          <w:b/>
          <w:bCs/>
          <w:sz w:val="16"/>
          <w:szCs w:val="16"/>
          <w:lang w:eastAsia="it-IT"/>
        </w:rPr>
        <w:t xml:space="preserve">Nota (1) Le dichiarazioni di cui al presente modello devono essere prodotte dai seguenti soggetti: </w:t>
      </w:r>
    </w:p>
    <w:p w14:paraId="37AB7952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titolare e il direttore tecnico, se si tratta di imprese individuali;</w:t>
      </w:r>
    </w:p>
    <w:p w14:paraId="485A085E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 soci e il direttore tecnico, se si tratta di società in nome collettivo;</w:t>
      </w:r>
    </w:p>
    <w:p w14:paraId="40FFE639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hanging="578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 xml:space="preserve">i soci accomandatari e il direttore tecnico, se si tratta di società in accomandita semplice; </w:t>
      </w:r>
    </w:p>
    <w:p w14:paraId="342FFE03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i membri del consiglio di amministrazione cui  sia stata conferita la legale rappresentanza, ivi compresi institori e procuratori generali, dei membri degli organi con poteri di direzione o di vigilanza in ordine ai quali con  Comunicato del 26/10/2016 il Presidente dell’Anac ha precisato che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Al fine di consentire  l’applicazione della norma in esame, le indicazioni ivi contenute devono essere  interpretate avendo a riferimento i sistemi di amministrazione e controllo  delle società di capitali disciplinati dal codice civile a seguito della  riforma introdotta dal D.lgs. n. 6/2003 e precisamente:</w:t>
      </w:r>
    </w:p>
    <w:p w14:paraId="303082BF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1) sistema cd. “tradizionale” (disciplinato agli artt. 2380-bis e ss. c.c.), articolato su un “consiglio di amministrazione” e su un “collegio sindacale”;</w:t>
      </w:r>
    </w:p>
    <w:p w14:paraId="5014A211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2) sistema cd. “dualistico” (disciplinato agli artt. </w:t>
      </w:r>
      <w:r w:rsidRPr="003877CD">
        <w:rPr>
          <w:rFonts w:eastAsia="Times New Roman" w:cs="Calibri"/>
          <w:i/>
          <w:iCs/>
          <w:sz w:val="16"/>
          <w:szCs w:val="16"/>
          <w:lang w:val="en-US" w:eastAsia="ar-SA"/>
        </w:rPr>
        <w:t xml:space="preserve">2409-octies e ss. c.c.)  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 xml:space="preserve">articolato sul “consiglio di gestione” e sul “consiglio di sorveglianza”; </w:t>
      </w:r>
    </w:p>
    <w:p w14:paraId="429A475C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3) sistema cd. “monistico” fondato sulla presenza di un “consiglio di amministrazione” e di un “comitato per il controllo sulla gestione” costituito al suo interno (art. 2409-sexiesdecies, co. 1, c.c.).</w:t>
      </w:r>
    </w:p>
    <w:p w14:paraId="33B05E74" w14:textId="77777777" w:rsidR="003877CD" w:rsidRPr="003877CD" w:rsidRDefault="003877CD" w:rsidP="003877CD">
      <w:pPr>
        <w:spacing w:after="0" w:line="40" w:lineRule="atLeast"/>
        <w:ind w:left="360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Pertanto, la sussistenza del requisito di cui all’art. 94, co. 1, del Codice deve  essere verificata in capo: ai  membri del consiglio di amministrazione cui sia stata conferita la legale  rappresentanza, nelle società con sistema di amministrazione tradizionale e  monistico (Presidente del Consiglio di Amministrazione, Amministratore Unico,  amministratori delegati anche se titolari di una delega limitata a determinate  attività ma che per tali attività conferisca poteri di rappresentanza); ai  membri del collegio sindacale nelle società con sistema di amministrazione  tradizionale e ai membri del comitato per il controllo sulla gestione nelle  società con sistema di amministrazione monistico; ai  membri del consiglio di gestione e ai membri del consiglio di sorveglianza,  nelle società con sistema di amministrazione dualistico”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;</w:t>
      </w:r>
    </w:p>
    <w:p w14:paraId="10244D4D" w14:textId="03EF30A1" w:rsidR="003877CD" w:rsidRPr="003877CD" w:rsidRDefault="003877CD" w:rsidP="003877CD">
      <w:pPr>
        <w:numPr>
          <w:ilvl w:val="0"/>
          <w:numId w:val="12"/>
        </w:numPr>
        <w:suppressAutoHyphens/>
        <w:spacing w:after="0" w:line="40" w:lineRule="atLeast"/>
        <w:ind w:left="284" w:hanging="284"/>
        <w:jc w:val="both"/>
        <w:rPr>
          <w:rFonts w:eastAsia="Times New Roman" w:cs="Calibri"/>
          <w:iCs/>
          <w:sz w:val="16"/>
          <w:szCs w:val="16"/>
          <w:lang w:eastAsia="ar-SA"/>
        </w:rPr>
      </w:pPr>
      <w:r w:rsidRPr="003877CD">
        <w:rPr>
          <w:rFonts w:eastAsia="Times New Roman" w:cs="Calibri"/>
          <w:iCs/>
          <w:sz w:val="16"/>
          <w:szCs w:val="16"/>
          <w:lang w:eastAsia="ar-SA"/>
        </w:rPr>
        <w:t>soggetti muniti di poteri di  rappresentanza, di direzione o di controllo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Cs/>
          <w:sz w:val="16"/>
          <w:szCs w:val="16"/>
          <w:lang w:eastAsia="ar-SA"/>
        </w:rPr>
        <w:t>in ordine ai quali, con  Comunicato del 26/10/2016, il Presidente dell’Anac ha precisato che devono intendersi “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per tali i soggetti che, benché non siano membri  degli organi sociali di amministrazione e controllo, risultino muniti di poteri  di rappresentanza (come gli institori e i procuratori ad negotia), di direzione (come i</w:t>
      </w:r>
      <w:r w:rsidR="00145802">
        <w:rPr>
          <w:rFonts w:eastAsia="Times New Roman" w:cs="Calibri"/>
          <w:i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dipendenti o i professionisti ai quali siano stati conferiti  significativi poteri di direzione e gestione dell’impresa) o di controllo (come  il revisore contabile e l’Organismo di Vigilanza di cui all’art. 6 del D. Lgs. n. 231/2001 cui sia affidato il compito di vigilare sul funzionamento e sull’osservanza dei modelli di organizzazione e di gestione idonei a prevenire reati).</w:t>
      </w:r>
      <w:r w:rsidRPr="003877CD">
        <w:rPr>
          <w:rFonts w:eastAsia="Times New Roman" w:cs="Calibri"/>
          <w:sz w:val="16"/>
          <w:szCs w:val="16"/>
          <w:lang w:eastAsia="ar-SA"/>
        </w:rPr>
        <w:t xml:space="preserve"> 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In caso di affidamento del controllo contabile a una società di revisione, la verifica del possesso del requisito di cui all’</w:t>
      </w:r>
      <w:r w:rsidRPr="003877CD">
        <w:rPr>
          <w:rFonts w:eastAsia="Times New Roman" w:cs="Calibri"/>
          <w:i/>
          <w:iCs/>
          <w:sz w:val="16"/>
          <w:szCs w:val="16"/>
          <w:lang w:eastAsia="ar-SA"/>
        </w:rPr>
        <w:t>art. 94, co. 1</w:t>
      </w:r>
      <w:r w:rsidRPr="003877CD">
        <w:rPr>
          <w:rFonts w:eastAsia="Times New Roman" w:cs="Calibri"/>
          <w:i/>
          <w:sz w:val="16"/>
          <w:szCs w:val="16"/>
          <w:lang w:eastAsia="ar-SA"/>
        </w:rPr>
        <w:t>, non deve essere condotta sui membri degli organi sociali della società di revisione, trattandosi di soggetto giuridico distinto dall’operatore economico concorrente cui vanno riferite le cause di esclusione”.</w:t>
      </w:r>
    </w:p>
    <w:p w14:paraId="5BB64F8C" w14:textId="77777777" w:rsidR="003877CD" w:rsidRPr="003877CD" w:rsidRDefault="003877CD" w:rsidP="003877CD">
      <w:pPr>
        <w:numPr>
          <w:ilvl w:val="0"/>
          <w:numId w:val="11"/>
        </w:numPr>
        <w:tabs>
          <w:tab w:val="num" w:pos="284"/>
        </w:tabs>
        <w:suppressAutoHyphens/>
        <w:spacing w:after="0" w:line="40" w:lineRule="atLeast"/>
        <w:ind w:left="284" w:hanging="142"/>
        <w:jc w:val="both"/>
        <w:rPr>
          <w:rFonts w:eastAsia="Times New Roman" w:cs="Calibri"/>
          <w:b/>
          <w:sz w:val="16"/>
          <w:szCs w:val="16"/>
          <w:lang w:eastAsia="ar-SA"/>
        </w:rPr>
      </w:pPr>
      <w:r w:rsidRPr="003877CD">
        <w:rPr>
          <w:rFonts w:eastAsia="Times New Roman" w:cs="Calibri"/>
          <w:sz w:val="16"/>
          <w:szCs w:val="16"/>
          <w:lang w:eastAsia="ar-SA"/>
        </w:rPr>
        <w:t>il direttore tecnico o il socio unico persona fisica, ovvero il socio di maggioranza in caso di società con un numero di soci pari o inferiore a quattro, se si tratta di altro tipo di società o consorzio;</w:t>
      </w:r>
    </w:p>
    <w:p w14:paraId="7C16A01F" w14:textId="77777777" w:rsidR="003877CD" w:rsidRPr="003877CD" w:rsidRDefault="003877CD" w:rsidP="003877CD">
      <w:pPr>
        <w:numPr>
          <w:ilvl w:val="0"/>
          <w:numId w:val="10"/>
        </w:numPr>
        <w:tabs>
          <w:tab w:val="num" w:pos="284"/>
        </w:tabs>
        <w:spacing w:after="0" w:line="40" w:lineRule="atLeast"/>
        <w:ind w:hanging="720"/>
        <w:jc w:val="both"/>
        <w:rPr>
          <w:rFonts w:eastAsia="Times New Roman" w:cs="Calibri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>soggetti cessati dalle cariche suindicate nell’anno antecedente la data di pubblicazione del bando di gara.</w:t>
      </w:r>
    </w:p>
    <w:p w14:paraId="0B09C58B" w14:textId="77777777" w:rsidR="003877CD" w:rsidRPr="003877CD" w:rsidRDefault="003877CD" w:rsidP="003877CD">
      <w:pPr>
        <w:spacing w:after="0" w:line="40" w:lineRule="atLeast"/>
        <w:jc w:val="both"/>
        <w:rPr>
          <w:rFonts w:eastAsia="Times New Roman" w:cs="Calibri"/>
          <w:sz w:val="16"/>
          <w:szCs w:val="16"/>
          <w:lang w:eastAsia="it-IT"/>
        </w:rPr>
      </w:pPr>
    </w:p>
    <w:p w14:paraId="10EC17C7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16"/>
          <w:szCs w:val="16"/>
          <w:lang w:eastAsia="it-IT"/>
        </w:rPr>
      </w:pPr>
      <w:r w:rsidRPr="003877CD">
        <w:rPr>
          <w:rFonts w:eastAsia="Times New Roman" w:cs="Calibri"/>
          <w:b/>
          <w:sz w:val="16"/>
          <w:szCs w:val="16"/>
          <w:lang w:eastAsia="it-IT"/>
        </w:rPr>
        <w:t>Nota (2)</w:t>
      </w:r>
    </w:p>
    <w:p w14:paraId="4C58DC33" w14:textId="77777777" w:rsidR="003877CD" w:rsidRPr="003877CD" w:rsidRDefault="003877CD" w:rsidP="003877CD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it-IT"/>
        </w:rPr>
      </w:pPr>
      <w:r w:rsidRPr="003877CD">
        <w:rPr>
          <w:rFonts w:eastAsia="Times New Roman" w:cs="Calibri"/>
          <w:sz w:val="16"/>
          <w:szCs w:val="16"/>
          <w:lang w:eastAsia="it-IT"/>
        </w:rPr>
        <w:t xml:space="preserve">Tali dichiarazioni devono essere sottoscritte con l’osservanza delle modalità di cui all’articolo 38, comma 3, del D.P.R. 445/2000, inserendo a sistema una fotocopia del documento di identità del sottoscrittore. Si precisa che </w:t>
      </w:r>
      <w:r w:rsidRPr="003877CD">
        <w:rPr>
          <w:rFonts w:eastAsia="Times New Roman" w:cs="Calibri"/>
          <w:sz w:val="16"/>
          <w:szCs w:val="16"/>
          <w:u w:val="single"/>
          <w:lang w:eastAsia="it-IT"/>
        </w:rPr>
        <w:t xml:space="preserve">la mancanza della firma e/o della fotocopia del documento del sottoscrittore </w:t>
      </w:r>
      <w:r w:rsidRPr="003877CD">
        <w:rPr>
          <w:rFonts w:eastAsia="Times New Roman" w:cs="Calibri"/>
          <w:sz w:val="16"/>
          <w:szCs w:val="16"/>
          <w:lang w:eastAsia="it-IT"/>
        </w:rPr>
        <w:t xml:space="preserve">non è causa di esclusione automatica e il concorrente sarà invitato a sanare tale irregolarità entro il termine indicato dall’Amministrazione nella relativa richiesta. Ove tale irregolarità non venga sanata entro il termine ivi indicato, il concorrente sarà escluso dal prosieguo della gara. </w:t>
      </w:r>
    </w:p>
    <w:p w14:paraId="08045F22" w14:textId="77777777" w:rsidR="003877CD" w:rsidRPr="003877CD" w:rsidRDefault="003877CD" w:rsidP="003877C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14:paraId="281D21EF" w14:textId="6D5ABA4B" w:rsidR="00B30241" w:rsidRPr="00B23BC9" w:rsidRDefault="004F50E6" w:rsidP="00B23BC9">
      <w:r w:rsidRPr="00B23BC9">
        <w:t xml:space="preserve"> </w:t>
      </w:r>
    </w:p>
    <w:sectPr w:rsidR="00B30241" w:rsidRPr="00B23BC9" w:rsidSect="00013D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E179" w14:textId="77777777" w:rsidR="005D6979" w:rsidRDefault="005D6979" w:rsidP="004D7924">
      <w:pPr>
        <w:spacing w:after="0" w:line="240" w:lineRule="auto"/>
      </w:pPr>
      <w:r>
        <w:separator/>
      </w:r>
    </w:p>
  </w:endnote>
  <w:endnote w:type="continuationSeparator" w:id="0">
    <w:p w14:paraId="7BBDE5AE" w14:textId="77777777" w:rsidR="005D6979" w:rsidRDefault="005D6979" w:rsidP="004D7924">
      <w:pPr>
        <w:spacing w:after="0" w:line="240" w:lineRule="auto"/>
      </w:pPr>
      <w:r>
        <w:continuationSeparator/>
      </w:r>
    </w:p>
  </w:endnote>
  <w:endnote w:type="continuationNotice" w:id="1">
    <w:p w14:paraId="7919B5F6" w14:textId="77777777" w:rsidR="005D6979" w:rsidRDefault="005D6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5308" w14:textId="77777777" w:rsidR="005D6979" w:rsidRDefault="005D6979" w:rsidP="004D7924">
      <w:pPr>
        <w:spacing w:after="0" w:line="240" w:lineRule="auto"/>
      </w:pPr>
      <w:r>
        <w:separator/>
      </w:r>
    </w:p>
  </w:footnote>
  <w:footnote w:type="continuationSeparator" w:id="0">
    <w:p w14:paraId="59B1575B" w14:textId="77777777" w:rsidR="005D6979" w:rsidRDefault="005D6979" w:rsidP="004D7924">
      <w:pPr>
        <w:spacing w:after="0" w:line="240" w:lineRule="auto"/>
      </w:pPr>
      <w:r>
        <w:continuationSeparator/>
      </w:r>
    </w:p>
  </w:footnote>
  <w:footnote w:type="continuationNotice" w:id="1">
    <w:p w14:paraId="2497A543" w14:textId="77777777" w:rsidR="005D6979" w:rsidRDefault="005D6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66908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58241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Immagin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9"/>
  </w:num>
  <w:num w:numId="2" w16cid:durableId="552039116">
    <w:abstractNumId w:val="6"/>
  </w:num>
  <w:num w:numId="3" w16cid:durableId="1126046541">
    <w:abstractNumId w:val="4"/>
  </w:num>
  <w:num w:numId="4" w16cid:durableId="93281579">
    <w:abstractNumId w:val="11"/>
  </w:num>
  <w:num w:numId="5" w16cid:durableId="321005184">
    <w:abstractNumId w:val="3"/>
  </w:num>
  <w:num w:numId="6" w16cid:durableId="1124350833">
    <w:abstractNumId w:val="7"/>
  </w:num>
  <w:num w:numId="7" w16cid:durableId="483544174">
    <w:abstractNumId w:val="0"/>
  </w:num>
  <w:num w:numId="8" w16cid:durableId="1433546332">
    <w:abstractNumId w:val="5"/>
  </w:num>
  <w:num w:numId="9" w16cid:durableId="138160366">
    <w:abstractNumId w:val="2"/>
  </w:num>
  <w:num w:numId="10" w16cid:durableId="1872843430">
    <w:abstractNumId w:val="10"/>
  </w:num>
  <w:num w:numId="11" w16cid:durableId="2009938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8"/>
  </w:num>
  <w:num w:numId="13" w16cid:durableId="58997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13D7E"/>
    <w:rsid w:val="00031CFF"/>
    <w:rsid w:val="000713F3"/>
    <w:rsid w:val="00087FEA"/>
    <w:rsid w:val="000A3AFF"/>
    <w:rsid w:val="000B5AD1"/>
    <w:rsid w:val="000F2B24"/>
    <w:rsid w:val="000F3C14"/>
    <w:rsid w:val="000F5F97"/>
    <w:rsid w:val="00116204"/>
    <w:rsid w:val="00133192"/>
    <w:rsid w:val="001421C1"/>
    <w:rsid w:val="00145802"/>
    <w:rsid w:val="00151702"/>
    <w:rsid w:val="0017339B"/>
    <w:rsid w:val="00182699"/>
    <w:rsid w:val="00183883"/>
    <w:rsid w:val="0018703A"/>
    <w:rsid w:val="001A7E68"/>
    <w:rsid w:val="001F38C7"/>
    <w:rsid w:val="00210726"/>
    <w:rsid w:val="00227DB1"/>
    <w:rsid w:val="002362DE"/>
    <w:rsid w:val="00236EA9"/>
    <w:rsid w:val="00264F77"/>
    <w:rsid w:val="00285D31"/>
    <w:rsid w:val="002B071D"/>
    <w:rsid w:val="002D4B94"/>
    <w:rsid w:val="002E12C0"/>
    <w:rsid w:val="002E2022"/>
    <w:rsid w:val="0037529A"/>
    <w:rsid w:val="003877CD"/>
    <w:rsid w:val="00417216"/>
    <w:rsid w:val="00422549"/>
    <w:rsid w:val="00433C5A"/>
    <w:rsid w:val="00440F0F"/>
    <w:rsid w:val="00493B3F"/>
    <w:rsid w:val="004A5CE2"/>
    <w:rsid w:val="004D4ED6"/>
    <w:rsid w:val="004D7924"/>
    <w:rsid w:val="004F383B"/>
    <w:rsid w:val="004F50E6"/>
    <w:rsid w:val="00504096"/>
    <w:rsid w:val="00523B10"/>
    <w:rsid w:val="005839FF"/>
    <w:rsid w:val="005B5676"/>
    <w:rsid w:val="005C02BC"/>
    <w:rsid w:val="005D6979"/>
    <w:rsid w:val="00612DF3"/>
    <w:rsid w:val="0063123E"/>
    <w:rsid w:val="00651617"/>
    <w:rsid w:val="00672246"/>
    <w:rsid w:val="00710CE6"/>
    <w:rsid w:val="00726904"/>
    <w:rsid w:val="007336C3"/>
    <w:rsid w:val="00774E7C"/>
    <w:rsid w:val="007C026F"/>
    <w:rsid w:val="007C63CD"/>
    <w:rsid w:val="008009B7"/>
    <w:rsid w:val="0080137B"/>
    <w:rsid w:val="00836A4D"/>
    <w:rsid w:val="00846924"/>
    <w:rsid w:val="008D36A1"/>
    <w:rsid w:val="008D7297"/>
    <w:rsid w:val="008E5483"/>
    <w:rsid w:val="008E7E5B"/>
    <w:rsid w:val="00922067"/>
    <w:rsid w:val="0094604B"/>
    <w:rsid w:val="009834C7"/>
    <w:rsid w:val="009C1B44"/>
    <w:rsid w:val="00A42C35"/>
    <w:rsid w:val="00A43633"/>
    <w:rsid w:val="00AD651B"/>
    <w:rsid w:val="00B23BC9"/>
    <w:rsid w:val="00B30241"/>
    <w:rsid w:val="00B941C4"/>
    <w:rsid w:val="00BA77F9"/>
    <w:rsid w:val="00C11B1D"/>
    <w:rsid w:val="00C208E1"/>
    <w:rsid w:val="00C30A26"/>
    <w:rsid w:val="00C703FC"/>
    <w:rsid w:val="00C821B1"/>
    <w:rsid w:val="00CF683A"/>
    <w:rsid w:val="00D033A4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ED507E"/>
    <w:rsid w:val="00F35DE8"/>
    <w:rsid w:val="00F51660"/>
    <w:rsid w:val="00F64F84"/>
    <w:rsid w:val="00F66B07"/>
    <w:rsid w:val="00F71D33"/>
    <w:rsid w:val="00F91E0B"/>
    <w:rsid w:val="00F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p.ing@pec.unina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4" ma:contentTypeDescription="Creare un nuovo documento." ma:contentTypeScope="" ma:versionID="7d7b828e86cb2f4dca9d29cb1f875ab6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0eef2ec504cd8d28691cb3196e18964e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15262-A8FE-486B-A445-F8FD7876D880}"/>
</file>

<file path=customXml/itemProps2.xml><?xml version="1.0" encoding="utf-8"?>
<ds:datastoreItem xmlns:ds="http://schemas.openxmlformats.org/officeDocument/2006/customXml" ds:itemID="{8A8BCDFD-7A71-4D68-9ABE-5E8EE5442A74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3AC41500-0438-4717-9B73-12EEF9996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2</TotalTime>
  <Pages>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46</cp:revision>
  <dcterms:created xsi:type="dcterms:W3CDTF">2023-09-20T09:07:00Z</dcterms:created>
  <dcterms:modified xsi:type="dcterms:W3CDTF">2025-04-14T12:20:00Z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