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421EFF">
        <w:t>83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421EFF">
        <w:t>26/07/2018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421EFF">
        <w:t xml:space="preserve">SERVIZIO DI RIPARAZIONE IMPIANTO CAPPE CHIMICHE </w:t>
      </w:r>
    </w:p>
    <w:p w:rsidR="004C7CBD" w:rsidRDefault="00A62E82" w:rsidP="00ED0EC9">
      <w:r>
        <w:t>CIG:</w:t>
      </w:r>
      <w:r w:rsidR="005A1372">
        <w:t xml:space="preserve"> </w:t>
      </w:r>
      <w:r w:rsidR="00421EFF">
        <w:t>Z532246AB6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117C96" w:rsidRDefault="00117C96" w:rsidP="00117C96">
      <w:pPr>
        <w:jc w:val="both"/>
        <w:rPr>
          <w:b/>
        </w:rPr>
      </w:pPr>
    </w:p>
    <w:p w:rsidR="00117C96" w:rsidRPr="00C702CB" w:rsidRDefault="004464ED" w:rsidP="00117C96">
      <w:pPr>
        <w:jc w:val="both"/>
      </w:pPr>
      <w:r>
        <w:rPr>
          <w:b/>
        </w:rPr>
        <w:t>VISTA</w:t>
      </w:r>
      <w:r w:rsidR="00117C96">
        <w:rPr>
          <w:b/>
        </w:rPr>
        <w:t xml:space="preserve"> </w:t>
      </w:r>
      <w:r w:rsidR="00117C96" w:rsidRPr="004464ED">
        <w:t>la richiesta, presentata in data 19/07/2018, dal Prof. Pier Luca Maffettone,</w:t>
      </w:r>
      <w:r>
        <w:rPr>
          <w:b/>
        </w:rPr>
        <w:t xml:space="preserve"> </w:t>
      </w:r>
      <w:r w:rsidRPr="00C702CB">
        <w:t>con la quale chiedeva un intervento di riparazione all’impianto di aspirazione</w:t>
      </w:r>
      <w:r w:rsidR="00C702CB" w:rsidRPr="00C702CB">
        <w:t xml:space="preserve"> dei laboratori del DICMAPI</w:t>
      </w:r>
      <w:r w:rsidR="005C7B88">
        <w:t xml:space="preserve"> con </w:t>
      </w:r>
      <w:r w:rsidR="008948D5">
        <w:t>sostituzione del</w:t>
      </w:r>
      <w:r w:rsidR="005C7B88">
        <w:t xml:space="preserve"> relativo ruttore</w:t>
      </w:r>
      <w:r w:rsidR="008948D5">
        <w:t>;</w:t>
      </w:r>
      <w:r w:rsidRPr="00C702CB">
        <w:t xml:space="preserve"> </w:t>
      </w:r>
    </w:p>
    <w:p w:rsidR="00117C96" w:rsidRDefault="00117C96" w:rsidP="00117C96">
      <w:pPr>
        <w:jc w:val="both"/>
        <w:rPr>
          <w:b/>
        </w:rPr>
      </w:pPr>
    </w:p>
    <w:p w:rsidR="00117C96" w:rsidRPr="00750425" w:rsidRDefault="00117C96" w:rsidP="00117C96">
      <w:pPr>
        <w:jc w:val="both"/>
      </w:pPr>
      <w:r w:rsidRPr="00750425">
        <w:rPr>
          <w:b/>
        </w:rPr>
        <w:t>RILEVATA</w:t>
      </w:r>
      <w:r w:rsidRPr="00750425">
        <w:t xml:space="preserve"> la necessità di attivare la procedura per l’acquisizione del servizio sopra descritto, al fine di garantire la continuità della ricerca e la funzionalità dei laboratori;</w:t>
      </w:r>
    </w:p>
    <w:p w:rsidR="00117C96" w:rsidRDefault="00117C96" w:rsidP="00117C96">
      <w:pPr>
        <w:jc w:val="both"/>
        <w:rPr>
          <w:b/>
        </w:rPr>
      </w:pPr>
    </w:p>
    <w:p w:rsidR="008948D5" w:rsidRDefault="008948D5" w:rsidP="00117C96">
      <w:pPr>
        <w:jc w:val="both"/>
        <w:rPr>
          <w:b/>
        </w:rPr>
      </w:pPr>
    </w:p>
    <w:p w:rsidR="00117C96" w:rsidRPr="00146A3D" w:rsidRDefault="00117C96" w:rsidP="00117C96">
      <w:pPr>
        <w:jc w:val="both"/>
        <w:rPr>
          <w:b/>
        </w:rPr>
      </w:pPr>
      <w:r w:rsidRPr="00E94812">
        <w:rPr>
          <w:b/>
        </w:rPr>
        <w:t>ACCERTATO</w:t>
      </w:r>
      <w:r>
        <w:t xml:space="preserve"> </w:t>
      </w:r>
      <w:r w:rsidRPr="00E94812">
        <w:t>che</w:t>
      </w:r>
      <w:r>
        <w:t xml:space="preserve">, </w:t>
      </w:r>
      <w:r w:rsidRPr="00E94812">
        <w:t>alla data dell'adozione del presente provvedimento</w:t>
      </w:r>
      <w:r>
        <w:t>,</w:t>
      </w:r>
      <w:r w:rsidRPr="00E94812">
        <w:t xml:space="preserve"> per il bene/servizio richiesto non sono attive Convenzioni </w:t>
      </w:r>
      <w:proofErr w:type="spellStart"/>
      <w:r>
        <w:t>Consip</w:t>
      </w:r>
      <w:proofErr w:type="spellEnd"/>
      <w:r>
        <w:t>;</w:t>
      </w:r>
    </w:p>
    <w:p w:rsidR="00117C96" w:rsidRDefault="00117C96" w:rsidP="00117C96">
      <w:pPr>
        <w:jc w:val="both"/>
      </w:pPr>
    </w:p>
    <w:p w:rsidR="00117C96" w:rsidRDefault="00117C96" w:rsidP="00117C96">
      <w:pPr>
        <w:jc w:val="both"/>
      </w:pPr>
      <w:r w:rsidRPr="00027718">
        <w:rPr>
          <w:b/>
        </w:rPr>
        <w:t>TENUTO</w:t>
      </w:r>
      <w:r>
        <w:t xml:space="preserve"> </w:t>
      </w:r>
      <w:r w:rsidRPr="00027718">
        <w:rPr>
          <w:b/>
        </w:rPr>
        <w:t>CONTO</w:t>
      </w:r>
      <w:r>
        <w:t xml:space="preserve"> che il servizio è dis</w:t>
      </w:r>
      <w:bookmarkStart w:id="0" w:name="_GoBack"/>
      <w:bookmarkEnd w:id="0"/>
      <w:r>
        <w:t>ponibile sul MEPA nel Bando Servizi/Servizi agli impianti manutenzione e riparazione;</w:t>
      </w:r>
    </w:p>
    <w:p w:rsidR="00117C96" w:rsidRDefault="00117C96" w:rsidP="00117C96">
      <w:pPr>
        <w:jc w:val="both"/>
      </w:pPr>
    </w:p>
    <w:p w:rsidR="00117C96" w:rsidRDefault="00117C96" w:rsidP="00117C96">
      <w:pPr>
        <w:jc w:val="both"/>
      </w:pPr>
      <w:r w:rsidRPr="00027718">
        <w:rPr>
          <w:b/>
        </w:rPr>
        <w:t>RITENUTO</w:t>
      </w:r>
      <w:r>
        <w:t xml:space="preserve"> pertanto di procedere all’acquisizione del servizio mediante Trattativa Diretta sul mercato Elettronico della PA (MEPA) con il fornitore </w:t>
      </w:r>
      <w:r w:rsidR="004464ED">
        <w:t xml:space="preserve">I.L.C. GROUP </w:t>
      </w:r>
      <w:r>
        <w:t>a</w:t>
      </w:r>
      <w:r w:rsidR="002062E5">
        <w:t>bilitato al bando su menzionato e individuato a seguito di indagine di mercato informale da questo Dipartimento;</w:t>
      </w:r>
    </w:p>
    <w:p w:rsidR="00117C96" w:rsidRDefault="00117C96" w:rsidP="00117C96">
      <w:pPr>
        <w:jc w:val="both"/>
      </w:pPr>
    </w:p>
    <w:p w:rsidR="00117C96" w:rsidRDefault="00117C96" w:rsidP="00117C96">
      <w:pPr>
        <w:jc w:val="both"/>
      </w:pPr>
      <w:r w:rsidRPr="00027718">
        <w:rPr>
          <w:b/>
        </w:rPr>
        <w:t>PRESO</w:t>
      </w:r>
      <w:r>
        <w:t xml:space="preserve"> </w:t>
      </w:r>
      <w:r w:rsidRPr="00027718">
        <w:rPr>
          <w:b/>
        </w:rPr>
        <w:t>ATTO</w:t>
      </w:r>
      <w:r>
        <w:t xml:space="preserve"> che in data </w:t>
      </w:r>
      <w:r w:rsidR="004B3150">
        <w:t>20/07</w:t>
      </w:r>
      <w:r>
        <w:t xml:space="preserve">/2018 è pervenuta l’offerta presentata dalla ditta </w:t>
      </w:r>
      <w:r w:rsidR="004B3150">
        <w:t>I.L.C. GROUP</w:t>
      </w:r>
      <w:proofErr w:type="gramStart"/>
      <w:r w:rsidR="004B3150">
        <w:t xml:space="preserve"> </w:t>
      </w:r>
      <w:r>
        <w:t xml:space="preserve">  (</w:t>
      </w:r>
      <w:proofErr w:type="gramEnd"/>
      <w:r w:rsidRPr="00027718">
        <w:rPr>
          <w:b/>
        </w:rPr>
        <w:t>Trattativa Diretta n.</w:t>
      </w:r>
      <w:r w:rsidR="004B3150">
        <w:rPr>
          <w:b/>
        </w:rPr>
        <w:t>57116</w:t>
      </w:r>
      <w:r>
        <w:t xml:space="preserve">)  pari ad  € </w:t>
      </w:r>
      <w:r w:rsidR="004B3150">
        <w:t>650,00</w:t>
      </w:r>
      <w:r>
        <w:t xml:space="preserve"> oltre iva come per legge;</w:t>
      </w:r>
    </w:p>
    <w:p w:rsidR="00117C96" w:rsidRPr="00D869FF" w:rsidRDefault="00117C96" w:rsidP="00117C96">
      <w:pPr>
        <w:jc w:val="both"/>
      </w:pPr>
      <w:r>
        <w:rPr>
          <w:b/>
        </w:rPr>
        <w:t xml:space="preserve"> </w:t>
      </w:r>
    </w:p>
    <w:p w:rsidR="00117C96" w:rsidRPr="00EC6568" w:rsidRDefault="00117C96" w:rsidP="00117C96">
      <w:pPr>
        <w:jc w:val="both"/>
        <w:rPr>
          <w:b/>
        </w:rPr>
      </w:pPr>
      <w:r>
        <w:rPr>
          <w:b/>
        </w:rPr>
        <w:t xml:space="preserve">RITENUTO </w:t>
      </w:r>
      <w:r w:rsidRPr="005327E2">
        <w:t>congruo il prezzo offerto;</w:t>
      </w:r>
    </w:p>
    <w:p w:rsidR="00117C96" w:rsidRDefault="00117C96" w:rsidP="00117C96">
      <w:pPr>
        <w:jc w:val="both"/>
        <w:rPr>
          <w:b/>
        </w:rPr>
      </w:pPr>
    </w:p>
    <w:p w:rsidR="00117C96" w:rsidRDefault="00117C96" w:rsidP="00117C96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174CF6" w:rsidRDefault="00174CF6" w:rsidP="00C334C9">
      <w:pPr>
        <w:jc w:val="both"/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263E69">
        <w:t xml:space="preserve">I.L.C. GROUP </w:t>
      </w:r>
      <w:r w:rsidR="00796C7E">
        <w:t xml:space="preserve"> – P.IVA </w:t>
      </w:r>
      <w:r w:rsidR="00263E69">
        <w:t>06525311210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</w:t>
      </w:r>
      <w:r w:rsidR="00263E69">
        <w:t>servizio</w:t>
      </w:r>
      <w:r w:rsidR="00B86FEA" w:rsidRPr="001D06E2">
        <w:t xml:space="preserve">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263E69">
        <w:t>650,00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71431D">
        <w:t>Ricerca Interdisciplinare”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263E69">
        <w:t>Maffettone Pier Luca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263E69">
        <w:t>650,00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</w:t>
      </w:r>
      <w:r w:rsidRPr="00ED0EC9">
        <w:lastRenderedPageBreak/>
        <w:t xml:space="preserve">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C96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062E5"/>
    <w:rsid w:val="0021573F"/>
    <w:rsid w:val="00224A91"/>
    <w:rsid w:val="002474AD"/>
    <w:rsid w:val="00263E69"/>
    <w:rsid w:val="00272563"/>
    <w:rsid w:val="00281C15"/>
    <w:rsid w:val="002928F6"/>
    <w:rsid w:val="002B2A59"/>
    <w:rsid w:val="002C15B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1EFF"/>
    <w:rsid w:val="004275BC"/>
    <w:rsid w:val="00435085"/>
    <w:rsid w:val="0043633D"/>
    <w:rsid w:val="004464ED"/>
    <w:rsid w:val="004538DC"/>
    <w:rsid w:val="00456890"/>
    <w:rsid w:val="0046317E"/>
    <w:rsid w:val="00470EB5"/>
    <w:rsid w:val="00472B2D"/>
    <w:rsid w:val="00492710"/>
    <w:rsid w:val="004B2220"/>
    <w:rsid w:val="004B3150"/>
    <w:rsid w:val="004C531F"/>
    <w:rsid w:val="004C7CBD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C7B88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1431D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948D5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702CB"/>
    <w:rsid w:val="00C85705"/>
    <w:rsid w:val="00C93F65"/>
    <w:rsid w:val="00CA0672"/>
    <w:rsid w:val="00CA072B"/>
    <w:rsid w:val="00CB110B"/>
    <w:rsid w:val="00CB2B91"/>
    <w:rsid w:val="00CC765D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255111C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1561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104</cp:revision>
  <cp:lastPrinted>2018-07-27T10:58:00Z</cp:lastPrinted>
  <dcterms:created xsi:type="dcterms:W3CDTF">2017-02-27T10:19:00Z</dcterms:created>
  <dcterms:modified xsi:type="dcterms:W3CDTF">2018-07-27T10:58:00Z</dcterms:modified>
</cp:coreProperties>
</file>